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8712A" w14:textId="77777777" w:rsidR="00C33A59" w:rsidRPr="00C33A59" w:rsidRDefault="00C33A59" w:rsidP="00C33A59">
      <w:pPr>
        <w:widowControl w:val="0"/>
        <w:autoSpaceDE w:val="0"/>
        <w:autoSpaceDN w:val="0"/>
        <w:adjustRightInd w:val="0"/>
        <w:jc w:val="center"/>
        <w:rPr>
          <w:rFonts w:ascii="Arial" w:hAnsi="Arial" w:cs="Arial"/>
          <w:b/>
          <w:bCs/>
          <w:color w:val="4A4A4A"/>
          <w:sz w:val="40"/>
          <w:szCs w:val="40"/>
        </w:rPr>
      </w:pPr>
      <w:r w:rsidRPr="00C33A59">
        <w:rPr>
          <w:rFonts w:ascii="Arial" w:hAnsi="Arial" w:cs="Arial"/>
          <w:b/>
          <w:bCs/>
          <w:color w:val="4A4A4A"/>
          <w:sz w:val="40"/>
          <w:szCs w:val="40"/>
        </w:rPr>
        <w:t>Effects of television exposure on developmental skills among young children</w:t>
      </w:r>
    </w:p>
    <w:p w14:paraId="171A39AB" w14:textId="77777777" w:rsidR="00C33A59" w:rsidRDefault="00C33A59" w:rsidP="00C33A59">
      <w:pPr>
        <w:widowControl w:val="0"/>
        <w:numPr>
          <w:ilvl w:val="0"/>
          <w:numId w:val="1"/>
        </w:numPr>
        <w:tabs>
          <w:tab w:val="left" w:pos="220"/>
          <w:tab w:val="left" w:pos="720"/>
        </w:tabs>
        <w:autoSpaceDE w:val="0"/>
        <w:autoSpaceDN w:val="0"/>
        <w:adjustRightInd w:val="0"/>
        <w:ind w:hanging="720"/>
        <w:rPr>
          <w:rFonts w:ascii="Arial" w:hAnsi="Arial" w:cs="Arial"/>
          <w:color w:val="232323"/>
          <w:sz w:val="26"/>
          <w:szCs w:val="26"/>
        </w:rPr>
      </w:pPr>
      <w:bookmarkStart w:id="0" w:name="_GoBack"/>
      <w:r>
        <w:rPr>
          <w:rFonts w:ascii="Arial" w:hAnsi="Arial" w:cs="Arial"/>
          <w:color w:val="27588B"/>
          <w:kern w:val="1"/>
          <w:sz w:val="26"/>
          <w:szCs w:val="26"/>
        </w:rPr>
        <w:tab/>
      </w:r>
      <w:r>
        <w:rPr>
          <w:rFonts w:ascii="Arial" w:hAnsi="Arial" w:cs="Arial"/>
          <w:color w:val="27588B"/>
          <w:kern w:val="1"/>
          <w:sz w:val="26"/>
          <w:szCs w:val="26"/>
        </w:rPr>
        <w:tab/>
      </w:r>
      <w:r>
        <w:rPr>
          <w:rFonts w:ascii="Arial" w:hAnsi="Arial" w:cs="Arial"/>
          <w:color w:val="27588B"/>
          <w:sz w:val="26"/>
          <w:szCs w:val="26"/>
        </w:rPr>
        <w:t xml:space="preserve">Ling-Yi </w:t>
      </w:r>
      <w:proofErr w:type="spellStart"/>
      <w:r>
        <w:rPr>
          <w:rFonts w:ascii="Arial" w:hAnsi="Arial" w:cs="Arial"/>
          <w:color w:val="27588B"/>
          <w:sz w:val="26"/>
          <w:szCs w:val="26"/>
        </w:rPr>
        <w:t>Lin</w:t>
      </w:r>
      <w:r>
        <w:rPr>
          <w:rFonts w:ascii="Arial" w:hAnsi="Arial" w:cs="Arial"/>
          <w:color w:val="27588B"/>
          <w:sz w:val="18"/>
          <w:szCs w:val="18"/>
          <w:vertAlign w:val="superscript"/>
        </w:rPr>
        <w:t>a</w:t>
      </w:r>
      <w:proofErr w:type="spellEnd"/>
      <w:r>
        <w:rPr>
          <w:rFonts w:ascii="Arial" w:hAnsi="Arial" w:cs="Arial"/>
          <w:color w:val="232323"/>
          <w:sz w:val="26"/>
          <w:szCs w:val="26"/>
        </w:rPr>
        <w:t xml:space="preserve">, </w:t>
      </w:r>
      <w:proofErr w:type="spellStart"/>
      <w:r>
        <w:rPr>
          <w:rFonts w:ascii="Arial" w:hAnsi="Arial" w:cs="Arial"/>
          <w:color w:val="27588B"/>
          <w:sz w:val="26"/>
          <w:szCs w:val="26"/>
        </w:rPr>
        <w:t>Rong-Ju</w:t>
      </w:r>
      <w:proofErr w:type="spellEnd"/>
      <w:r>
        <w:rPr>
          <w:rFonts w:ascii="Arial" w:hAnsi="Arial" w:cs="Arial"/>
          <w:color w:val="27588B"/>
          <w:sz w:val="26"/>
          <w:szCs w:val="26"/>
        </w:rPr>
        <w:t xml:space="preserve"> </w:t>
      </w:r>
      <w:proofErr w:type="spellStart"/>
      <w:r>
        <w:rPr>
          <w:rFonts w:ascii="Arial" w:hAnsi="Arial" w:cs="Arial"/>
          <w:color w:val="27588B"/>
          <w:sz w:val="26"/>
          <w:szCs w:val="26"/>
        </w:rPr>
        <w:t>Cherng</w:t>
      </w:r>
      <w:r>
        <w:rPr>
          <w:rFonts w:ascii="Arial" w:hAnsi="Arial" w:cs="Arial"/>
          <w:color w:val="27588B"/>
          <w:sz w:val="18"/>
          <w:szCs w:val="18"/>
          <w:vertAlign w:val="superscript"/>
        </w:rPr>
        <w:t>b</w:t>
      </w:r>
      <w:proofErr w:type="spellEnd"/>
      <w:r>
        <w:rPr>
          <w:rFonts w:ascii="Arial" w:hAnsi="Arial" w:cs="Arial"/>
          <w:color w:val="232323"/>
          <w:sz w:val="26"/>
          <w:szCs w:val="26"/>
        </w:rPr>
        <w:t xml:space="preserve">, </w:t>
      </w:r>
      <w:r>
        <w:rPr>
          <w:rFonts w:ascii="Arial" w:hAnsi="Arial" w:cs="Arial"/>
          <w:color w:val="27588B"/>
          <w:sz w:val="26"/>
          <w:szCs w:val="26"/>
        </w:rPr>
        <w:t xml:space="preserve">Yung-Jung </w:t>
      </w:r>
      <w:proofErr w:type="spellStart"/>
      <w:r>
        <w:rPr>
          <w:rFonts w:ascii="Arial" w:hAnsi="Arial" w:cs="Arial"/>
          <w:color w:val="27588B"/>
          <w:sz w:val="26"/>
          <w:szCs w:val="26"/>
        </w:rPr>
        <w:t>Chen</w:t>
      </w:r>
      <w:r>
        <w:rPr>
          <w:rFonts w:ascii="Arial" w:hAnsi="Arial" w:cs="Arial"/>
          <w:color w:val="27588B"/>
          <w:sz w:val="18"/>
          <w:szCs w:val="18"/>
          <w:vertAlign w:val="superscript"/>
        </w:rPr>
        <w:t>c</w:t>
      </w:r>
      <w:proofErr w:type="spellEnd"/>
      <w:proofErr w:type="gramStart"/>
      <w:r>
        <w:rPr>
          <w:rFonts w:ascii="Arial" w:hAnsi="Arial" w:cs="Arial"/>
          <w:color w:val="232323"/>
          <w:sz w:val="18"/>
          <w:szCs w:val="18"/>
          <w:vertAlign w:val="superscript"/>
        </w:rPr>
        <w:t>, ,</w:t>
      </w:r>
      <w:proofErr w:type="gramEnd"/>
      <w:r>
        <w:rPr>
          <w:rFonts w:ascii="Arial" w:hAnsi="Arial" w:cs="Arial"/>
          <w:color w:val="232323"/>
          <w:sz w:val="18"/>
          <w:szCs w:val="18"/>
          <w:vertAlign w:val="superscript"/>
        </w:rPr>
        <w:t xml:space="preserve"> </w:t>
      </w:r>
      <w:r>
        <w:rPr>
          <w:rFonts w:ascii="Arial" w:hAnsi="Arial" w:cs="Arial"/>
          <w:color w:val="232323"/>
          <w:sz w:val="26"/>
          <w:szCs w:val="26"/>
        </w:rPr>
        <w:t xml:space="preserve">, </w:t>
      </w:r>
      <w:r>
        <w:rPr>
          <w:rFonts w:ascii="Arial" w:hAnsi="Arial" w:cs="Arial"/>
          <w:color w:val="27588B"/>
          <w:sz w:val="26"/>
          <w:szCs w:val="26"/>
        </w:rPr>
        <w:t xml:space="preserve">Yi-Jen </w:t>
      </w:r>
      <w:proofErr w:type="spellStart"/>
      <w:r>
        <w:rPr>
          <w:rFonts w:ascii="Arial" w:hAnsi="Arial" w:cs="Arial"/>
          <w:color w:val="27588B"/>
          <w:sz w:val="26"/>
          <w:szCs w:val="26"/>
        </w:rPr>
        <w:t>Chen</w:t>
      </w:r>
      <w:r>
        <w:rPr>
          <w:rFonts w:ascii="Arial" w:hAnsi="Arial" w:cs="Arial"/>
          <w:color w:val="27588B"/>
          <w:sz w:val="18"/>
          <w:szCs w:val="18"/>
          <w:vertAlign w:val="superscript"/>
        </w:rPr>
        <w:t>d</w:t>
      </w:r>
      <w:proofErr w:type="spellEnd"/>
      <w:r>
        <w:rPr>
          <w:rFonts w:ascii="Arial" w:hAnsi="Arial" w:cs="Arial"/>
          <w:color w:val="232323"/>
          <w:sz w:val="26"/>
          <w:szCs w:val="26"/>
        </w:rPr>
        <w:t xml:space="preserve">, </w:t>
      </w:r>
      <w:proofErr w:type="spellStart"/>
      <w:r>
        <w:rPr>
          <w:rFonts w:ascii="Arial" w:hAnsi="Arial" w:cs="Arial"/>
          <w:color w:val="27588B"/>
          <w:sz w:val="26"/>
          <w:szCs w:val="26"/>
        </w:rPr>
        <w:t>Hei</w:t>
      </w:r>
      <w:proofErr w:type="spellEnd"/>
      <w:r>
        <w:rPr>
          <w:rFonts w:ascii="Arial" w:hAnsi="Arial" w:cs="Arial"/>
          <w:color w:val="27588B"/>
          <w:sz w:val="26"/>
          <w:szCs w:val="26"/>
        </w:rPr>
        <w:t>-</w:t>
      </w:r>
      <w:bookmarkEnd w:id="0"/>
      <w:r>
        <w:rPr>
          <w:rFonts w:ascii="Arial" w:hAnsi="Arial" w:cs="Arial"/>
          <w:color w:val="27588B"/>
          <w:sz w:val="26"/>
          <w:szCs w:val="26"/>
        </w:rPr>
        <w:t xml:space="preserve">Mei </w:t>
      </w:r>
      <w:proofErr w:type="spellStart"/>
      <w:r>
        <w:rPr>
          <w:rFonts w:ascii="Arial" w:hAnsi="Arial" w:cs="Arial"/>
          <w:color w:val="27588B"/>
          <w:sz w:val="26"/>
          <w:szCs w:val="26"/>
        </w:rPr>
        <w:t>Yang</w:t>
      </w:r>
      <w:r>
        <w:rPr>
          <w:rFonts w:ascii="Arial" w:hAnsi="Arial" w:cs="Arial"/>
          <w:color w:val="27588B"/>
          <w:sz w:val="18"/>
          <w:szCs w:val="18"/>
          <w:vertAlign w:val="superscript"/>
        </w:rPr>
        <w:t>d</w:t>
      </w:r>
      <w:proofErr w:type="spellEnd"/>
    </w:p>
    <w:p w14:paraId="64230DB1" w14:textId="77777777" w:rsidR="00C33A59" w:rsidRPr="00C33A59" w:rsidRDefault="00C33A59" w:rsidP="00C33A59">
      <w:pPr>
        <w:pStyle w:val="ListParagraph"/>
        <w:widowControl w:val="0"/>
        <w:numPr>
          <w:ilvl w:val="0"/>
          <w:numId w:val="1"/>
        </w:numPr>
        <w:autoSpaceDE w:val="0"/>
        <w:autoSpaceDN w:val="0"/>
        <w:adjustRightInd w:val="0"/>
        <w:rPr>
          <w:rFonts w:ascii="Arial" w:hAnsi="Arial" w:cs="Arial"/>
          <w:b/>
          <w:bCs/>
          <w:i/>
          <w:color w:val="232323"/>
          <w:sz w:val="32"/>
          <w:szCs w:val="32"/>
        </w:rPr>
      </w:pPr>
    </w:p>
    <w:p w14:paraId="2FD11E76" w14:textId="77777777" w:rsidR="00C33A59" w:rsidRPr="00C33A59" w:rsidRDefault="00C33A59" w:rsidP="00C33A59">
      <w:pPr>
        <w:pStyle w:val="ListParagraph"/>
        <w:widowControl w:val="0"/>
        <w:numPr>
          <w:ilvl w:val="0"/>
          <w:numId w:val="1"/>
        </w:numPr>
        <w:autoSpaceDE w:val="0"/>
        <w:autoSpaceDN w:val="0"/>
        <w:adjustRightInd w:val="0"/>
        <w:rPr>
          <w:rFonts w:ascii="Arial" w:hAnsi="Arial" w:cs="Arial"/>
          <w:b/>
          <w:bCs/>
          <w:i/>
          <w:color w:val="232323"/>
          <w:sz w:val="32"/>
          <w:szCs w:val="32"/>
        </w:rPr>
      </w:pPr>
      <w:hyperlink r:id="rId6" w:history="1">
        <w:r w:rsidRPr="00C33A59">
          <w:rPr>
            <w:rFonts w:ascii="Arial" w:hAnsi="Arial" w:cs="Arial"/>
            <w:i/>
            <w:color w:val="232323"/>
            <w:sz w:val="32"/>
            <w:szCs w:val="32"/>
          </w:rPr>
          <w:t>Infant Behavior and Development</w:t>
        </w:r>
      </w:hyperlink>
    </w:p>
    <w:p w14:paraId="048A6292" w14:textId="77777777" w:rsidR="00C33A59" w:rsidRPr="00C33A59" w:rsidRDefault="00C33A59" w:rsidP="00C33A59">
      <w:pPr>
        <w:pStyle w:val="ListParagraph"/>
        <w:widowControl w:val="0"/>
        <w:numPr>
          <w:ilvl w:val="0"/>
          <w:numId w:val="1"/>
        </w:numPr>
        <w:autoSpaceDE w:val="0"/>
        <w:autoSpaceDN w:val="0"/>
        <w:adjustRightInd w:val="0"/>
        <w:rPr>
          <w:rFonts w:ascii="Arial" w:hAnsi="Arial" w:cs="Arial"/>
          <w:color w:val="4A4A4A"/>
          <w:sz w:val="32"/>
          <w:szCs w:val="32"/>
        </w:rPr>
      </w:pPr>
      <w:hyperlink r:id="rId7" w:history="1">
        <w:r w:rsidRPr="00C33A59">
          <w:rPr>
            <w:rFonts w:ascii="Arial" w:hAnsi="Arial" w:cs="Arial"/>
            <w:color w:val="27588B"/>
            <w:sz w:val="22"/>
            <w:szCs w:val="22"/>
          </w:rPr>
          <w:t>Volume 38</w:t>
        </w:r>
      </w:hyperlink>
      <w:r w:rsidRPr="00C33A59">
        <w:rPr>
          <w:rFonts w:ascii="Arial" w:hAnsi="Arial" w:cs="Arial"/>
          <w:color w:val="232323"/>
          <w:sz w:val="22"/>
          <w:szCs w:val="22"/>
        </w:rPr>
        <w:t>, February 2015, Pages 20–26</w:t>
      </w:r>
    </w:p>
    <w:p w14:paraId="4BF43C60" w14:textId="77777777" w:rsidR="00C33A59" w:rsidRPr="00C33A59" w:rsidRDefault="00C33A59" w:rsidP="0041007E">
      <w:pPr>
        <w:pStyle w:val="ListParagraph"/>
        <w:widowControl w:val="0"/>
        <w:numPr>
          <w:ilvl w:val="0"/>
          <w:numId w:val="1"/>
        </w:numPr>
        <w:autoSpaceDE w:val="0"/>
        <w:autoSpaceDN w:val="0"/>
        <w:adjustRightInd w:val="0"/>
        <w:jc w:val="both"/>
        <w:rPr>
          <w:rFonts w:ascii="Arial" w:hAnsi="Arial" w:cs="Arial"/>
          <w:color w:val="4A4A4A"/>
          <w:sz w:val="32"/>
          <w:szCs w:val="32"/>
        </w:rPr>
      </w:pPr>
    </w:p>
    <w:p w14:paraId="73BD17B2" w14:textId="77777777" w:rsidR="00C33A59" w:rsidRPr="00C33A59" w:rsidRDefault="00C33A59" w:rsidP="0041007E">
      <w:pPr>
        <w:widowControl w:val="0"/>
        <w:autoSpaceDE w:val="0"/>
        <w:autoSpaceDN w:val="0"/>
        <w:adjustRightInd w:val="0"/>
        <w:jc w:val="both"/>
        <w:rPr>
          <w:rFonts w:ascii="Arial" w:hAnsi="Arial" w:cs="Arial"/>
          <w:b/>
          <w:color w:val="4A4A4A"/>
        </w:rPr>
      </w:pPr>
      <w:r w:rsidRPr="00C33A59">
        <w:rPr>
          <w:rFonts w:ascii="Arial" w:hAnsi="Arial" w:cs="Arial"/>
          <w:b/>
          <w:color w:val="4A4A4A"/>
        </w:rPr>
        <w:t>Highlights</w:t>
      </w:r>
    </w:p>
    <w:p w14:paraId="38430C4A" w14:textId="77777777" w:rsidR="00C33A59" w:rsidRPr="00C33A59" w:rsidRDefault="00C33A59" w:rsidP="0041007E">
      <w:pPr>
        <w:widowControl w:val="0"/>
        <w:autoSpaceDE w:val="0"/>
        <w:autoSpaceDN w:val="0"/>
        <w:adjustRightInd w:val="0"/>
        <w:jc w:val="both"/>
        <w:rPr>
          <w:rFonts w:ascii="Arial" w:hAnsi="Arial" w:cs="Arial"/>
          <w:color w:val="232323"/>
        </w:rPr>
      </w:pPr>
      <w:r w:rsidRPr="00C33A59">
        <w:rPr>
          <w:rFonts w:ascii="Arial" w:hAnsi="Arial" w:cs="Arial"/>
          <w:color w:val="232323"/>
        </w:rPr>
        <w:t xml:space="preserve">• </w:t>
      </w:r>
      <w:r w:rsidRPr="00C33A59">
        <w:rPr>
          <w:rFonts w:ascii="Arial" w:hAnsi="Arial" w:cs="Arial"/>
          <w:color w:val="232323"/>
        </w:rPr>
        <w:t>Young children are exposed to too much television viewing before the age of two.</w:t>
      </w:r>
    </w:p>
    <w:p w14:paraId="7F3B39D6" w14:textId="77777777" w:rsidR="00C33A59" w:rsidRPr="00C33A59" w:rsidRDefault="00C33A59" w:rsidP="0041007E">
      <w:pPr>
        <w:widowControl w:val="0"/>
        <w:autoSpaceDE w:val="0"/>
        <w:autoSpaceDN w:val="0"/>
        <w:adjustRightInd w:val="0"/>
        <w:jc w:val="both"/>
        <w:rPr>
          <w:rFonts w:ascii="Arial" w:hAnsi="Arial" w:cs="Arial"/>
          <w:color w:val="232323"/>
        </w:rPr>
      </w:pPr>
      <w:r w:rsidRPr="00C33A59">
        <w:rPr>
          <w:rFonts w:ascii="Arial" w:hAnsi="Arial" w:cs="Arial"/>
          <w:color w:val="232323"/>
        </w:rPr>
        <w:t xml:space="preserve">• </w:t>
      </w:r>
      <w:r w:rsidRPr="00C33A59">
        <w:rPr>
          <w:rFonts w:ascii="Arial" w:hAnsi="Arial" w:cs="Arial"/>
          <w:color w:val="232323"/>
        </w:rPr>
        <w:t>Viewing television increased the risk of delayed cognitive, language, and motor development.</w:t>
      </w:r>
    </w:p>
    <w:p w14:paraId="1E26C779" w14:textId="77777777" w:rsidR="00C33A59" w:rsidRPr="00C33A59" w:rsidRDefault="00C33A59" w:rsidP="0041007E">
      <w:pPr>
        <w:widowControl w:val="0"/>
        <w:autoSpaceDE w:val="0"/>
        <w:autoSpaceDN w:val="0"/>
        <w:adjustRightInd w:val="0"/>
        <w:jc w:val="both"/>
        <w:rPr>
          <w:rFonts w:ascii="Arial" w:hAnsi="Arial" w:cs="Arial"/>
          <w:color w:val="232323"/>
        </w:rPr>
      </w:pPr>
      <w:r w:rsidRPr="00C33A59">
        <w:rPr>
          <w:rFonts w:ascii="Arial" w:hAnsi="Arial" w:cs="Arial"/>
          <w:color w:val="232323"/>
        </w:rPr>
        <w:t xml:space="preserve">• </w:t>
      </w:r>
      <w:r w:rsidRPr="00C33A59">
        <w:rPr>
          <w:rFonts w:ascii="Arial" w:hAnsi="Arial" w:cs="Arial"/>
          <w:color w:val="232323"/>
        </w:rPr>
        <w:t>Children with developmental delays spent more time being exposed to television.</w:t>
      </w:r>
    </w:p>
    <w:p w14:paraId="4FA80FDB" w14:textId="06072198" w:rsidR="00C33A59" w:rsidRPr="00C33A59" w:rsidRDefault="00C33A59" w:rsidP="0041007E">
      <w:pPr>
        <w:widowControl w:val="0"/>
        <w:autoSpaceDE w:val="0"/>
        <w:autoSpaceDN w:val="0"/>
        <w:adjustRightInd w:val="0"/>
        <w:jc w:val="both"/>
        <w:rPr>
          <w:rFonts w:ascii="Arial" w:hAnsi="Arial" w:cs="Arial"/>
          <w:color w:val="232323"/>
        </w:rPr>
      </w:pPr>
      <w:r w:rsidRPr="00C33A59">
        <w:rPr>
          <w:rFonts w:ascii="Arial" w:hAnsi="Arial" w:cs="Arial"/>
          <w:color w:val="232323"/>
        </w:rPr>
        <w:t xml:space="preserve">• </w:t>
      </w:r>
      <w:proofErr w:type="gramStart"/>
      <w:r w:rsidRPr="00C33A59">
        <w:rPr>
          <w:rFonts w:ascii="Arial" w:hAnsi="Arial" w:cs="Arial"/>
          <w:color w:val="232323"/>
        </w:rPr>
        <w:t>Maternal</w:t>
      </w:r>
      <w:proofErr w:type="gramEnd"/>
      <w:r w:rsidRPr="00C33A59">
        <w:rPr>
          <w:rFonts w:ascii="Arial" w:hAnsi="Arial" w:cs="Arial"/>
          <w:color w:val="232323"/>
        </w:rPr>
        <w:t xml:space="preserve"> education and type of care providers also pr</w:t>
      </w:r>
      <w:r>
        <w:rPr>
          <w:rFonts w:ascii="Arial" w:hAnsi="Arial" w:cs="Arial"/>
          <w:color w:val="232323"/>
        </w:rPr>
        <w:t>edicted television viewing time</w:t>
      </w:r>
    </w:p>
    <w:p w14:paraId="7D753386" w14:textId="77777777" w:rsidR="00C33A59" w:rsidRPr="00C33A59" w:rsidRDefault="00C33A59" w:rsidP="0041007E">
      <w:pPr>
        <w:widowControl w:val="0"/>
        <w:autoSpaceDE w:val="0"/>
        <w:autoSpaceDN w:val="0"/>
        <w:adjustRightInd w:val="0"/>
        <w:jc w:val="both"/>
        <w:rPr>
          <w:rFonts w:ascii="Arial" w:hAnsi="Arial" w:cs="Arial"/>
          <w:b/>
          <w:color w:val="4A4A4A"/>
        </w:rPr>
      </w:pPr>
      <w:r w:rsidRPr="00C33A59">
        <w:rPr>
          <w:rFonts w:ascii="Arial" w:hAnsi="Arial" w:cs="Arial"/>
          <w:b/>
          <w:color w:val="4A4A4A"/>
        </w:rPr>
        <w:t>Background</w:t>
      </w:r>
    </w:p>
    <w:p w14:paraId="14469C42" w14:textId="77777777" w:rsidR="00C33A59" w:rsidRPr="00C33A59" w:rsidRDefault="00C33A59" w:rsidP="0041007E">
      <w:pPr>
        <w:widowControl w:val="0"/>
        <w:autoSpaceDE w:val="0"/>
        <w:autoSpaceDN w:val="0"/>
        <w:adjustRightInd w:val="0"/>
        <w:jc w:val="both"/>
        <w:rPr>
          <w:rFonts w:ascii="Arial" w:hAnsi="Arial" w:cs="Arial"/>
          <w:color w:val="232323"/>
        </w:rPr>
      </w:pPr>
      <w:r w:rsidRPr="00C33A59">
        <w:rPr>
          <w:rFonts w:ascii="Arial" w:hAnsi="Arial" w:cs="Arial"/>
          <w:color w:val="232323"/>
        </w:rPr>
        <w:t>Literature addressing the effects of television exposure on developmental skills of young children less than 36 months of age is scarce. This study explored how much time young children spend viewing television and investigated its effects on cognitive, language, and motor developmental skills.</w:t>
      </w:r>
    </w:p>
    <w:p w14:paraId="73E55E20" w14:textId="77777777" w:rsidR="00C33A59" w:rsidRPr="0041007E" w:rsidRDefault="00C33A59" w:rsidP="0041007E">
      <w:pPr>
        <w:widowControl w:val="0"/>
        <w:autoSpaceDE w:val="0"/>
        <w:autoSpaceDN w:val="0"/>
        <w:adjustRightInd w:val="0"/>
        <w:jc w:val="both"/>
        <w:rPr>
          <w:rFonts w:ascii="Arial" w:hAnsi="Arial" w:cs="Arial"/>
          <w:b/>
          <w:color w:val="4A4A4A"/>
        </w:rPr>
      </w:pPr>
      <w:r w:rsidRPr="0041007E">
        <w:rPr>
          <w:rFonts w:ascii="Arial" w:hAnsi="Arial" w:cs="Arial"/>
          <w:b/>
          <w:color w:val="4A4A4A"/>
        </w:rPr>
        <w:t>Methods</w:t>
      </w:r>
    </w:p>
    <w:p w14:paraId="4158DCC6" w14:textId="77777777" w:rsidR="00C33A59" w:rsidRPr="00C33A59" w:rsidRDefault="00C33A59" w:rsidP="0041007E">
      <w:pPr>
        <w:widowControl w:val="0"/>
        <w:autoSpaceDE w:val="0"/>
        <w:autoSpaceDN w:val="0"/>
        <w:adjustRightInd w:val="0"/>
        <w:jc w:val="both"/>
        <w:rPr>
          <w:rFonts w:ascii="Arial" w:hAnsi="Arial" w:cs="Arial"/>
          <w:color w:val="232323"/>
        </w:rPr>
      </w:pPr>
      <w:r w:rsidRPr="00C33A59">
        <w:rPr>
          <w:rFonts w:ascii="Arial" w:hAnsi="Arial" w:cs="Arial"/>
          <w:color w:val="232323"/>
        </w:rPr>
        <w:t xml:space="preserve">Data were collected from the Pediatric Clinics at University Medical Center in Southern Taiwan. The participants comprised 75 children who were frequently exposed to television and 75 children who were not or infrequently exposed to television between 15 and 35 months old. The age and sex were matched in the two groups. The </w:t>
      </w:r>
      <w:proofErr w:type="spellStart"/>
      <w:r w:rsidRPr="00C33A59">
        <w:rPr>
          <w:rFonts w:ascii="Arial" w:hAnsi="Arial" w:cs="Arial"/>
          <w:color w:val="232323"/>
        </w:rPr>
        <w:t>Bayley</w:t>
      </w:r>
      <w:proofErr w:type="spellEnd"/>
      <w:r w:rsidRPr="00C33A59">
        <w:rPr>
          <w:rFonts w:ascii="Arial" w:hAnsi="Arial" w:cs="Arial"/>
          <w:color w:val="232323"/>
        </w:rPr>
        <w:t xml:space="preserve"> Scales of Infant Development-second edition and Peabody Developmental Motor Scales-second edition were used to identify developmental skills. Independent </w:t>
      </w:r>
      <w:r w:rsidRPr="00C33A59">
        <w:rPr>
          <w:rFonts w:ascii="Arial" w:hAnsi="Arial" w:cs="Arial"/>
          <w:i/>
          <w:iCs/>
          <w:color w:val="232323"/>
        </w:rPr>
        <w:t>t</w:t>
      </w:r>
      <w:r w:rsidRPr="00C33A59">
        <w:rPr>
          <w:rFonts w:ascii="Arial" w:hAnsi="Arial" w:cs="Arial"/>
          <w:color w:val="232323"/>
        </w:rPr>
        <w:t xml:space="preserve">-tests, </w:t>
      </w:r>
      <w:r w:rsidRPr="00C33A59">
        <w:rPr>
          <w:rFonts w:ascii="Arial" w:hAnsi="Arial" w:cs="Arial"/>
          <w:i/>
          <w:iCs/>
          <w:color w:val="232323"/>
        </w:rPr>
        <w:t>χ</w:t>
      </w:r>
      <w:r w:rsidRPr="00C33A59">
        <w:rPr>
          <w:rFonts w:ascii="Arial" w:hAnsi="Arial" w:cs="Arial"/>
          <w:color w:val="232323"/>
          <w:vertAlign w:val="superscript"/>
        </w:rPr>
        <w:t>2</w:t>
      </w:r>
      <w:r w:rsidRPr="00C33A59">
        <w:rPr>
          <w:rFonts w:ascii="Arial" w:hAnsi="Arial" w:cs="Arial"/>
          <w:color w:val="232323"/>
        </w:rPr>
        <w:t xml:space="preserve"> tests, and logistic regression models were conducted.</w:t>
      </w:r>
    </w:p>
    <w:p w14:paraId="091A682E" w14:textId="77777777" w:rsidR="00C33A59" w:rsidRPr="0041007E" w:rsidRDefault="00C33A59" w:rsidP="0041007E">
      <w:pPr>
        <w:widowControl w:val="0"/>
        <w:autoSpaceDE w:val="0"/>
        <w:autoSpaceDN w:val="0"/>
        <w:adjustRightInd w:val="0"/>
        <w:jc w:val="both"/>
        <w:rPr>
          <w:rFonts w:ascii="Arial" w:hAnsi="Arial" w:cs="Arial"/>
          <w:b/>
          <w:color w:val="4A4A4A"/>
        </w:rPr>
      </w:pPr>
      <w:r w:rsidRPr="0041007E">
        <w:rPr>
          <w:rFonts w:ascii="Arial" w:hAnsi="Arial" w:cs="Arial"/>
          <w:b/>
          <w:color w:val="4A4A4A"/>
        </w:rPr>
        <w:t>Results</w:t>
      </w:r>
    </w:p>
    <w:p w14:paraId="551B74CA" w14:textId="77777777" w:rsidR="00C33A59" w:rsidRPr="00C33A59" w:rsidRDefault="00C33A59" w:rsidP="0041007E">
      <w:pPr>
        <w:widowControl w:val="0"/>
        <w:autoSpaceDE w:val="0"/>
        <w:autoSpaceDN w:val="0"/>
        <w:adjustRightInd w:val="0"/>
        <w:jc w:val="both"/>
        <w:rPr>
          <w:rFonts w:ascii="Arial" w:hAnsi="Arial" w:cs="Arial"/>
          <w:color w:val="232323"/>
        </w:rPr>
      </w:pPr>
      <w:r w:rsidRPr="00C33A59">
        <w:rPr>
          <w:rFonts w:ascii="Arial" w:hAnsi="Arial" w:cs="Arial"/>
          <w:color w:val="232323"/>
        </w:rPr>
        <w:t>Among 75 children who were frequently exposed to television, young children watched a daily average of 67.4 min of television before age 2, which was excessive according to the American Academy of Pediatrics. Viewing television increased the risk of delayed cognitive, language, and motor development in children who were frequently exposed to television. Cognitive, language, and motor delays in young children were significantly associated with how much time they spent viewing television. The type of care providers was critical in determining the television-viewing time of children.</w:t>
      </w:r>
    </w:p>
    <w:p w14:paraId="195C5F8C" w14:textId="77777777" w:rsidR="00C33A59" w:rsidRPr="00C33A59" w:rsidRDefault="00C33A59" w:rsidP="0041007E">
      <w:pPr>
        <w:widowControl w:val="0"/>
        <w:autoSpaceDE w:val="0"/>
        <w:autoSpaceDN w:val="0"/>
        <w:adjustRightInd w:val="0"/>
        <w:jc w:val="both"/>
        <w:rPr>
          <w:rFonts w:ascii="Arial" w:hAnsi="Arial" w:cs="Arial"/>
          <w:b/>
          <w:color w:val="4A4A4A"/>
        </w:rPr>
      </w:pPr>
      <w:r w:rsidRPr="00C33A59">
        <w:rPr>
          <w:rFonts w:ascii="Arial" w:hAnsi="Arial" w:cs="Arial"/>
          <w:b/>
          <w:color w:val="4A4A4A"/>
        </w:rPr>
        <w:t>Conclusion</w:t>
      </w:r>
    </w:p>
    <w:p w14:paraId="07CA427F" w14:textId="77777777" w:rsidR="00C33A59" w:rsidRPr="00C33A59" w:rsidRDefault="005935BB" w:rsidP="0041007E">
      <w:pPr>
        <w:widowControl w:val="0"/>
        <w:numPr>
          <w:ilvl w:val="0"/>
          <w:numId w:val="1"/>
        </w:numPr>
        <w:tabs>
          <w:tab w:val="left" w:pos="0"/>
          <w:tab w:val="left" w:pos="220"/>
        </w:tabs>
        <w:autoSpaceDE w:val="0"/>
        <w:autoSpaceDN w:val="0"/>
        <w:adjustRightInd w:val="0"/>
        <w:ind w:left="0" w:hanging="720"/>
        <w:jc w:val="both"/>
        <w:rPr>
          <w:rFonts w:ascii="Arial" w:hAnsi="Arial" w:cs="Arial"/>
          <w:color w:val="232323"/>
        </w:rPr>
      </w:pPr>
      <w:r>
        <w:rPr>
          <w:rFonts w:ascii="Arial" w:hAnsi="Arial" w:cs="Arial"/>
          <w:color w:val="232323"/>
        </w:rPr>
        <w:t xml:space="preserve">           </w:t>
      </w:r>
      <w:r w:rsidR="00C33A59" w:rsidRPr="00C33A59">
        <w:rPr>
          <w:rFonts w:ascii="Arial" w:hAnsi="Arial" w:cs="Arial"/>
          <w:color w:val="232323"/>
        </w:rPr>
        <w:t>We recommend that pediatric practitioners explain the impacts of television exposure to parents and caregivers to ensure cognitive, language, and motor development in young children. Advocacy efforts must address the fact that allowing young children to spend excessive time viewing television can be developmentally detrimental.</w:t>
      </w:r>
    </w:p>
    <w:sectPr w:rsidR="00C33A59" w:rsidRPr="00C33A59" w:rsidSect="00C33A59">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59"/>
    <w:rsid w:val="0041007E"/>
    <w:rsid w:val="005935BB"/>
    <w:rsid w:val="00AE3152"/>
    <w:rsid w:val="00C3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288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cedirect.com/science/journal/01636383" TargetMode="External"/><Relationship Id="rId7" Type="http://schemas.openxmlformats.org/officeDocument/2006/relationships/hyperlink" Target="http://www.sciencedirect.com/science/journal/01636383/38/supp/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2172</Characters>
  <Application>Microsoft Macintosh Word</Application>
  <DocSecurity>0</DocSecurity>
  <Lines>18</Lines>
  <Paragraphs>5</Paragraphs>
  <ScaleCrop>false</ScaleCrop>
  <Company>Neuroemotion</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Patten</dc:creator>
  <cp:keywords/>
  <dc:description/>
  <cp:lastModifiedBy>Kathryn Patten</cp:lastModifiedBy>
  <cp:revision>3</cp:revision>
  <dcterms:created xsi:type="dcterms:W3CDTF">2014-12-31T18:15:00Z</dcterms:created>
  <dcterms:modified xsi:type="dcterms:W3CDTF">2014-12-31T18:22:00Z</dcterms:modified>
</cp:coreProperties>
</file>